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E934" w14:textId="77777777" w:rsidR="008B4CBC" w:rsidRDefault="008B4CBC" w:rsidP="008B4CBC">
      <w:pPr>
        <w:pStyle w:val="F2-zkladn"/>
        <w:spacing w:line="276" w:lineRule="auto"/>
        <w:rPr>
          <w:b/>
          <w:sz w:val="28"/>
          <w:szCs w:val="28"/>
        </w:rPr>
      </w:pPr>
      <w:r>
        <w:rPr>
          <w:b/>
          <w:sz w:val="28"/>
          <w:szCs w:val="28"/>
        </w:rPr>
        <w:t>TISKOVÁ ZPRÁVA</w:t>
      </w:r>
    </w:p>
    <w:p w14:paraId="6A51F8D5" w14:textId="3DD446CD" w:rsidR="008B4CBC" w:rsidRPr="00AC3268" w:rsidRDefault="008B4CBC" w:rsidP="00AC3268">
      <w:pPr>
        <w:pStyle w:val="F2-zkladn"/>
        <w:spacing w:line="276" w:lineRule="auto"/>
        <w:jc w:val="right"/>
        <w:rPr>
          <w:b/>
          <w:sz w:val="28"/>
          <w:szCs w:val="28"/>
        </w:rPr>
      </w:pPr>
      <w:r w:rsidRPr="00455A3C">
        <w:tab/>
      </w:r>
      <w:r w:rsidRPr="00893890">
        <w:t>Praha,</w:t>
      </w:r>
      <w:r>
        <w:t xml:space="preserve"> </w:t>
      </w:r>
      <w:r w:rsidR="00A403F0">
        <w:t>2</w:t>
      </w:r>
      <w:r>
        <w:t xml:space="preserve">. </w:t>
      </w:r>
      <w:r w:rsidR="005F1230">
        <w:t>červ</w:t>
      </w:r>
      <w:r w:rsidR="00D01565">
        <w:t>ence</w:t>
      </w:r>
      <w:r>
        <w:t xml:space="preserve"> </w:t>
      </w:r>
      <w:r w:rsidRPr="00893890">
        <w:t>202</w:t>
      </w:r>
      <w:r>
        <w:t>6</w:t>
      </w:r>
    </w:p>
    <w:p w14:paraId="487CDC3F" w14:textId="47A3F2B9" w:rsidR="00D01565" w:rsidRPr="00D01565" w:rsidRDefault="00D01565" w:rsidP="00D01565">
      <w:pPr>
        <w:rPr>
          <w:b/>
          <w:bCs/>
          <w:kern w:val="28"/>
          <w:sz w:val="28"/>
          <w:szCs w:val="28"/>
        </w:rPr>
      </w:pPr>
      <w:r w:rsidRPr="00D01565">
        <w:rPr>
          <w:b/>
          <w:bCs/>
          <w:kern w:val="28"/>
          <w:sz w:val="28"/>
          <w:szCs w:val="28"/>
        </w:rPr>
        <w:t>Globální výhled</w:t>
      </w:r>
      <w:r w:rsidR="006C1BF1">
        <w:rPr>
          <w:b/>
          <w:bCs/>
          <w:kern w:val="28"/>
          <w:sz w:val="28"/>
          <w:szCs w:val="28"/>
        </w:rPr>
        <w:t xml:space="preserve"> na druhé pololetí</w:t>
      </w:r>
      <w:r w:rsidRPr="00D01565">
        <w:rPr>
          <w:b/>
          <w:bCs/>
          <w:kern w:val="28"/>
          <w:sz w:val="28"/>
          <w:szCs w:val="28"/>
        </w:rPr>
        <w:t xml:space="preserve">: </w:t>
      </w:r>
      <w:r w:rsidR="006C1BF1">
        <w:rPr>
          <w:b/>
          <w:bCs/>
          <w:kern w:val="28"/>
          <w:sz w:val="28"/>
          <w:szCs w:val="28"/>
        </w:rPr>
        <w:t>Co tlumí nárazy?</w:t>
      </w:r>
    </w:p>
    <w:p w14:paraId="4B8FBB47" w14:textId="6F19C610" w:rsidR="00D01565" w:rsidRDefault="006C1BF1" w:rsidP="005F1230">
      <w:r w:rsidRPr="006C1BF1">
        <w:rPr>
          <w:color w:val="000000" w:themeColor="text1"/>
        </w:rPr>
        <w:t xml:space="preserve">Situace </w:t>
      </w:r>
      <w:r w:rsidR="00D01565" w:rsidRPr="006C1BF1">
        <w:rPr>
          <w:color w:val="000000" w:themeColor="text1"/>
        </w:rPr>
        <w:t>na Blízkém východě opět potvrdil</w:t>
      </w:r>
      <w:r w:rsidRPr="006C1BF1">
        <w:rPr>
          <w:color w:val="000000" w:themeColor="text1"/>
        </w:rPr>
        <w:t>a</w:t>
      </w:r>
      <w:r w:rsidR="00D01565" w:rsidRPr="006C1BF1">
        <w:rPr>
          <w:color w:val="000000" w:themeColor="text1"/>
        </w:rPr>
        <w:t xml:space="preserve">, že </w:t>
      </w:r>
      <w:r w:rsidR="00D01565" w:rsidRPr="00D01565">
        <w:t>žijeme v rozpadajícím se světovém řádu, což vyžaduje zvýšenou ostražitost od investorů. Přesto se domníváme, že fundamentální faktory by měly rizikovým aktivům v druhé polovině tohoto roku nahrávat.</w:t>
      </w:r>
    </w:p>
    <w:p w14:paraId="7D8D7E86" w14:textId="721D7540" w:rsidR="00D01565" w:rsidRDefault="00D01565" w:rsidP="00D01565">
      <w:r>
        <w:t>Trhy si postupně zvykají na kolísavost cen, třebaže první fáze konfliktu v Íránu se chýlí ke konci. Začínají se dívat za krátkodobé výkyvy a soustředí se na stabilní fundamentální faktory, které budou podporovat výkonnost aktiv po zbytek tohoto roku, zatímco cyklus investic do umělé inteligence zůstává silným růstovým</w:t>
      </w:r>
      <w:r w:rsidR="002235DB">
        <w:t xml:space="preserve"> hybatelem</w:t>
      </w:r>
      <w:r>
        <w:t xml:space="preserve"> pro trhy po celém světě. To vše vytváří příznivé prostředí pro investory.</w:t>
      </w:r>
    </w:p>
    <w:p w14:paraId="6AECE5FC" w14:textId="30DDF96C" w:rsidR="00D01565" w:rsidRDefault="00D01565" w:rsidP="00D01565">
      <w:r>
        <w:t>Stále roztříštěnější světový řád vyžaduje nový přístup ke geopolitickým faktorům. Tradiční bezpečné přístavy již nebudou hrát stejnou roli jako dříve. A diverzifikace se ukáže jako důležitější než kdy jindy (ale bude přitom těžší ji dosáhnout).</w:t>
      </w:r>
    </w:p>
    <w:p w14:paraId="375B7591" w14:textId="5F811ED1" w:rsidR="00D01565" w:rsidRDefault="00D01565" w:rsidP="00D01565">
      <w:r>
        <w:t>S ohledem na to vstupujeme do druhé poloviny roku 2026 s následujícími hlavními tezemi:</w:t>
      </w:r>
    </w:p>
    <w:p w14:paraId="4ABA1357" w14:textId="2E5022ED" w:rsidR="00D01565" w:rsidRDefault="00D01565" w:rsidP="00D01565">
      <w:pPr>
        <w:pStyle w:val="Odstavecseseznamem"/>
        <w:numPr>
          <w:ilvl w:val="0"/>
          <w:numId w:val="28"/>
        </w:numPr>
      </w:pPr>
      <w:r>
        <w:t xml:space="preserve">K akciovému riziku zaujímáme celkově pozitivní postoj, a to zejména v případě Japonska a vybraných rozvíjejících se trhů. Jsme si vědomi silné </w:t>
      </w:r>
      <w:proofErr w:type="spellStart"/>
      <w:r>
        <w:t>rally</w:t>
      </w:r>
      <w:proofErr w:type="spellEnd"/>
      <w:r>
        <w:t>, která na trzích od dubna probíhá. I tak preferujeme riziko akciového trhu než dluhopisového trhu, kde prémie zůstávají nízko.</w:t>
      </w:r>
    </w:p>
    <w:p w14:paraId="5F84DE60" w14:textId="695CBB5F" w:rsidR="00D01565" w:rsidRDefault="00D01565" w:rsidP="00D01565">
      <w:pPr>
        <w:pStyle w:val="Odstavecseseznamem"/>
        <w:numPr>
          <w:ilvl w:val="0"/>
          <w:numId w:val="28"/>
        </w:numPr>
      </w:pPr>
      <w:r>
        <w:t xml:space="preserve">Investice do umělé inteligence představují hnací sílu globálních trhů a přelévají se do dalších témat, jako je nedostatek energie a modernizace energetických sítí. </w:t>
      </w:r>
    </w:p>
    <w:p w14:paraId="0753E6B0" w14:textId="2E0CBC49" w:rsidR="00D01565" w:rsidRDefault="00D01565" w:rsidP="00D01565">
      <w:pPr>
        <w:pStyle w:val="Odstavecseseznamem"/>
        <w:numPr>
          <w:ilvl w:val="0"/>
          <w:numId w:val="28"/>
        </w:numPr>
      </w:pPr>
      <w:r>
        <w:t xml:space="preserve">Cenám komodit </w:t>
      </w:r>
      <w:proofErr w:type="spellStart"/>
      <w:r>
        <w:t>podmáhá</w:t>
      </w:r>
      <w:proofErr w:type="spellEnd"/>
      <w:r>
        <w:t xml:space="preserve"> geopolitická nestabilita a cyklus investic do AI. Kromě toho mohou komodity, zejména ty související s energetikou, představovat užitečnou diverzifikaci proti geopolitickým rizikům, když se tradiční aktiva, jako jsou dluhopisy s dlouhou dobou splatnosti a zlato, chovají méně spolehlivě,</w:t>
      </w:r>
    </w:p>
    <w:p w14:paraId="38C5B14C" w14:textId="77777777" w:rsidR="00D01565" w:rsidRPr="00D01565" w:rsidRDefault="00D01565" w:rsidP="00D01565">
      <w:pPr>
        <w:rPr>
          <w:b/>
          <w:bCs/>
        </w:rPr>
      </w:pPr>
      <w:r w:rsidRPr="00D01565">
        <w:rPr>
          <w:b/>
          <w:bCs/>
        </w:rPr>
        <w:t>Komplikovaná předsevzetí</w:t>
      </w:r>
    </w:p>
    <w:p w14:paraId="23913BEC" w14:textId="5FB51E4A" w:rsidR="00D01565" w:rsidRDefault="00D01565" w:rsidP="00D01565">
      <w:r>
        <w:t xml:space="preserve">Klíčovým makroekonomickým faktorem pro nejbližší budoucnost je energetický nabídkový šok způsobený uzavřením </w:t>
      </w:r>
      <w:proofErr w:type="spellStart"/>
      <w:r>
        <w:t>Hormuzského</w:t>
      </w:r>
      <w:proofErr w:type="spellEnd"/>
      <w:r>
        <w:t xml:space="preserve"> průlivu.</w:t>
      </w:r>
    </w:p>
    <w:p w14:paraId="03D26B29" w14:textId="68CCE257" w:rsidR="00DE0CB2" w:rsidRPr="00DE0CB2" w:rsidRDefault="00DE0CB2" w:rsidP="00DE0CB2">
      <w:r w:rsidRPr="00DE0CB2">
        <w:rPr>
          <w:i/>
          <w:iCs/>
        </w:rPr>
        <w:t>„</w:t>
      </w:r>
      <w:r w:rsidR="00D01565" w:rsidRPr="00DE0CB2">
        <w:rPr>
          <w:i/>
          <w:iCs/>
        </w:rPr>
        <w:t>Naším základním scénářem je „chaotické vyřešení“ tohoto konfliktu. Vyšší inflace a přísnější měnová politika budou brzdit růst ve většině regionů; na energetických trzích bude i nadále přetrvávat prémie za geopolitické riziko. Geopolitika zůstane palčivým tématem i v případě, že USA a Írán dospějí k dohodě, neboť nad záměry USA vůči Kubě a Grónsku stále visí otazníky</w:t>
      </w:r>
      <w:r>
        <w:t xml:space="preserve">,“ vysvětluje </w:t>
      </w:r>
      <w:r w:rsidRPr="00DE0CB2">
        <w:t xml:space="preserve">Henk-Jan </w:t>
      </w:r>
      <w:proofErr w:type="spellStart"/>
      <w:r w:rsidRPr="00DE0CB2">
        <w:t>Rikkerink</w:t>
      </w:r>
      <w:proofErr w:type="spellEnd"/>
      <w:r>
        <w:t xml:space="preserve">, vedoucí oddělení </w:t>
      </w:r>
      <w:proofErr w:type="spellStart"/>
      <w:r>
        <w:t>multiasset</w:t>
      </w:r>
      <w:proofErr w:type="spellEnd"/>
      <w:r>
        <w:t xml:space="preserve"> ve společnosti </w:t>
      </w:r>
      <w:proofErr w:type="spellStart"/>
      <w:r>
        <w:t>Fidelity</w:t>
      </w:r>
      <w:proofErr w:type="spellEnd"/>
      <w:r>
        <w:t>.</w:t>
      </w:r>
    </w:p>
    <w:p w14:paraId="71340B30" w14:textId="34D61F84" w:rsidR="00D01565" w:rsidRDefault="00D01565" w:rsidP="00D01565">
      <w:r>
        <w:t>S tím, jak se různé ekonomiky budou vypořádávat s dopady vyšších cen energií, bude postupně jasnější, kdo z tohoto klání vyjde jako vítěz a kdo jako poražený.</w:t>
      </w:r>
    </w:p>
    <w:p w14:paraId="1A794F03" w14:textId="3E44AAE8" w:rsidR="00D01565" w:rsidRDefault="00D01565" w:rsidP="00D01565">
      <w:pPr>
        <w:pStyle w:val="F2-zkladn"/>
      </w:pPr>
      <w:r>
        <w:br w:type="page"/>
      </w:r>
    </w:p>
    <w:p w14:paraId="0D4AD5A4" w14:textId="6B5D5B53" w:rsidR="005B2594" w:rsidRPr="00D01565" w:rsidRDefault="00DE0CB2" w:rsidP="00D01565">
      <w:pPr>
        <w:rPr>
          <w:sz w:val="18"/>
          <w:szCs w:val="18"/>
        </w:rPr>
      </w:pPr>
      <w:r w:rsidRPr="00D01565">
        <w:rPr>
          <w:noProof/>
          <w:sz w:val="18"/>
          <w:szCs w:val="18"/>
        </w:rPr>
        <w:lastRenderedPageBreak/>
        <w:drawing>
          <wp:anchor distT="0" distB="0" distL="114300" distR="114300" simplePos="0" relativeHeight="251658240" behindDoc="1" locked="0" layoutInCell="1" allowOverlap="1" wp14:anchorId="4B0589D4" wp14:editId="478CD106">
            <wp:simplePos x="0" y="0"/>
            <wp:positionH relativeFrom="column">
              <wp:posOffset>-1270</wp:posOffset>
            </wp:positionH>
            <wp:positionV relativeFrom="paragraph">
              <wp:posOffset>0</wp:posOffset>
            </wp:positionV>
            <wp:extent cx="5759450" cy="2405380"/>
            <wp:effectExtent l="0" t="0" r="0" b="0"/>
            <wp:wrapTight wrapText="bothSides">
              <wp:wrapPolygon edited="0">
                <wp:start x="0" y="0"/>
                <wp:lineTo x="0" y="21383"/>
                <wp:lineTo x="21505" y="21383"/>
                <wp:lineTo x="21505" y="0"/>
                <wp:lineTo x="0" y="0"/>
              </wp:wrapPolygon>
            </wp:wrapTight>
            <wp:docPr id="8247853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85350" name="Obrázek 824785350"/>
                    <pic:cNvPicPr/>
                  </pic:nvPicPr>
                  <pic:blipFill>
                    <a:blip r:embed="rId11">
                      <a:extLst>
                        <a:ext uri="{28A0092B-C50C-407E-A947-70E740481C1C}">
                          <a14:useLocalDpi xmlns:a14="http://schemas.microsoft.com/office/drawing/2010/main" val="0"/>
                        </a:ext>
                      </a:extLst>
                    </a:blip>
                    <a:stretch>
                      <a:fillRect/>
                    </a:stretch>
                  </pic:blipFill>
                  <pic:spPr>
                    <a:xfrm>
                      <a:off x="0" y="0"/>
                      <a:ext cx="5759450" cy="2405380"/>
                    </a:xfrm>
                    <a:prstGeom prst="rect">
                      <a:avLst/>
                    </a:prstGeom>
                  </pic:spPr>
                </pic:pic>
              </a:graphicData>
            </a:graphic>
          </wp:anchor>
        </w:drawing>
      </w:r>
      <w:r w:rsidR="00D01565" w:rsidRPr="00D01565">
        <w:rPr>
          <w:sz w:val="18"/>
          <w:szCs w:val="18"/>
        </w:rPr>
        <w:t xml:space="preserve">Zdroj: </w:t>
      </w:r>
      <w:proofErr w:type="spellStart"/>
      <w:r w:rsidR="00D01565" w:rsidRPr="00D01565">
        <w:rPr>
          <w:sz w:val="18"/>
          <w:szCs w:val="18"/>
        </w:rPr>
        <w:t>Fidelity</w:t>
      </w:r>
      <w:proofErr w:type="spellEnd"/>
      <w:r w:rsidR="00D01565" w:rsidRPr="00D01565">
        <w:rPr>
          <w:sz w:val="18"/>
          <w:szCs w:val="18"/>
        </w:rPr>
        <w:t xml:space="preserve"> International, květen 2026</w:t>
      </w:r>
    </w:p>
    <w:p w14:paraId="7317D4A7" w14:textId="003BA8AD" w:rsidR="00D01565" w:rsidRPr="00D01565" w:rsidRDefault="00D01565" w:rsidP="00D01565">
      <w:pPr>
        <w:pStyle w:val="F2-zkladn"/>
      </w:pPr>
      <w:r w:rsidRPr="00D01565">
        <w:t xml:space="preserve">Tento tlak pocítí nejvíce některé oblasti v Asii, protože země v tomto regionu jsou na dodávkách přes průliv obzvláště závislé. </w:t>
      </w:r>
    </w:p>
    <w:p w14:paraId="7445F42A" w14:textId="77777777" w:rsidR="00D01565" w:rsidRPr="00D01565" w:rsidRDefault="00D01565" w:rsidP="00D01565">
      <w:pPr>
        <w:pStyle w:val="F2-zkladn"/>
      </w:pPr>
      <w:r w:rsidRPr="00D01565">
        <w:t>I Evropa je v tomto ohledu poměrně ohrožena. Domníváme se, že z velkých centrálních bank je Evropská centrální banka tou, u níž je letos zvýšení úrokových sazeb nejpravděpodobnější vzhledem k vyšším cenám energií a jejich sekundárním dopadům, které si vynucují reakci. Pro centrální bankéře představuje problém skutečnost, že v Evropě je ohrožen i hospodářský růst, protože vyšší ceny energií snižují reálné příjmy a tlumí sentiment.</w:t>
      </w:r>
    </w:p>
    <w:p w14:paraId="3AB4E5DF" w14:textId="77777777" w:rsidR="00D01565" w:rsidRPr="00D01565" w:rsidRDefault="00D01565" w:rsidP="00D01565">
      <w:pPr>
        <w:pStyle w:val="F2-zkladn"/>
      </w:pPr>
      <w:r w:rsidRPr="00D01565">
        <w:t>USA by měly být vůči energetickému šoku relativně odolné díky nižší závislosti na dovozu energií. Cyklus kapitálových výdajů do AI přitom na ekonomiku působí stimulačně, posiluje korporátní rozvahy a pohání růst zisků.</w:t>
      </w:r>
    </w:p>
    <w:p w14:paraId="48E3642B" w14:textId="7EB6BAEB" w:rsidR="00D01565" w:rsidRPr="00D01565" w:rsidRDefault="00D01565" w:rsidP="00D01565">
      <w:pPr>
        <w:pStyle w:val="F2-zkladn"/>
      </w:pPr>
      <w:r w:rsidRPr="00D01565">
        <w:t xml:space="preserve">V USA se však začínají projevovat i přímé dopady energetického šoku na celkovou inflaci. Hrozí, že dlouhodobě vysoké náklady na energii začnou ovlivňovat očekávání a cenové chování. Pokud by válka znovu vstoupila do horké fáze, mohly by trhy začít </w:t>
      </w:r>
      <w:r w:rsidR="00DE0CB2">
        <w:t>v cenách promítat</w:t>
      </w:r>
      <w:r w:rsidRPr="00D01565">
        <w:t xml:space="preserve"> další zvýšení úrokových sazeb ze strany Federálního rezervního systému. Soukromé úvěry s sebou přinášejí také rizika, kterým se věnujeme níže. Tento problém by mohl přinést rychlou politickou reakci (přičemž listopadové volby do Kongresu by mohly představovat potenciální spouště</w:t>
      </w:r>
      <w:r w:rsidR="00DE0CB2">
        <w:t>č této reakce</w:t>
      </w:r>
      <w:r w:rsidRPr="00D01565">
        <w:t>).</w:t>
      </w:r>
    </w:p>
    <w:p w14:paraId="56869C63" w14:textId="08C86E73" w:rsidR="00D01565" w:rsidRPr="00D01565" w:rsidRDefault="00D01565" w:rsidP="00D01565">
      <w:pPr>
        <w:pStyle w:val="F2-zkladn"/>
      </w:pPr>
      <w:r w:rsidRPr="00E107E5">
        <w:t>Z</w:t>
      </w:r>
      <w:r w:rsidR="00E107E5" w:rsidRPr="00E107E5">
        <w:t>a</w:t>
      </w:r>
      <w:r w:rsidRPr="00E107E5">
        <w:t xml:space="preserve"> těchto </w:t>
      </w:r>
      <w:r w:rsidRPr="00D01565">
        <w:t xml:space="preserve">podmínek bude prostor pro uvolnění měnové politiky ze strany </w:t>
      </w:r>
      <w:proofErr w:type="spellStart"/>
      <w:r w:rsidRPr="00D01565">
        <w:t>Fedu</w:t>
      </w:r>
      <w:proofErr w:type="spellEnd"/>
      <w:r w:rsidRPr="00D01565">
        <w:t xml:space="preserve"> v letošním roce omezený. Tvůrci měnové politiky budou s ohledem na inflaci převyšující cílovou hodnotu s největší pravděpodobností nadále postupovat opatrně, přičemž členové Federálního výboru pro otevřený trh (FOMC) zřejmě zmírní holubičí tendence nového předsedy </w:t>
      </w:r>
      <w:proofErr w:type="spellStart"/>
      <w:r w:rsidRPr="00D01565">
        <w:t>Fedu</w:t>
      </w:r>
      <w:proofErr w:type="spellEnd"/>
      <w:r w:rsidRPr="00D01565">
        <w:t xml:space="preserve"> Kevina </w:t>
      </w:r>
      <w:proofErr w:type="spellStart"/>
      <w:r w:rsidRPr="00D01565">
        <w:t>Warshe</w:t>
      </w:r>
      <w:proofErr w:type="spellEnd"/>
      <w:r w:rsidRPr="00D01565">
        <w:t>.</w:t>
      </w:r>
    </w:p>
    <w:p w14:paraId="052A68D8" w14:textId="77777777" w:rsidR="00D01565" w:rsidRPr="00D01565" w:rsidRDefault="00D01565" w:rsidP="00D01565">
      <w:pPr>
        <w:pStyle w:val="F2-zkladn"/>
        <w:rPr>
          <w:b/>
          <w:bCs/>
        </w:rPr>
      </w:pPr>
      <w:r w:rsidRPr="00D01565">
        <w:rPr>
          <w:b/>
          <w:bCs/>
        </w:rPr>
        <w:t>Konstruktivní prostředí</w:t>
      </w:r>
    </w:p>
    <w:p w14:paraId="4704E901" w14:textId="77777777" w:rsidR="00D01565" w:rsidRPr="00D01565" w:rsidRDefault="00D01565" w:rsidP="00D01565">
      <w:pPr>
        <w:pStyle w:val="F2-zkladn"/>
      </w:pPr>
      <w:r w:rsidRPr="00D01565">
        <w:t>Trhy se opírají o stabilní fundamenty, a to navzdory volatilitě vyvolané geopolitickou situací. Především američtí technologičtí giganti nadále investují miliardy do vývoje AI, což v současnosti představuje hnací motor dále rostoucích zisků.</w:t>
      </w:r>
    </w:p>
    <w:p w14:paraId="1D6BE8F2" w14:textId="53675D39" w:rsidR="00D01565" w:rsidRDefault="00D01565" w:rsidP="00D01565">
      <w:pPr>
        <w:pStyle w:val="F2-zkladn"/>
      </w:pPr>
      <w:r>
        <w:rPr>
          <w:noProof/>
        </w:rPr>
        <w:lastRenderedPageBreak/>
        <w:drawing>
          <wp:anchor distT="0" distB="0" distL="114300" distR="114300" simplePos="0" relativeHeight="251659264" behindDoc="1" locked="0" layoutInCell="1" allowOverlap="1" wp14:anchorId="3A9FCE3B" wp14:editId="4F702FEF">
            <wp:simplePos x="0" y="0"/>
            <wp:positionH relativeFrom="column">
              <wp:posOffset>-31750</wp:posOffset>
            </wp:positionH>
            <wp:positionV relativeFrom="paragraph">
              <wp:posOffset>396240</wp:posOffset>
            </wp:positionV>
            <wp:extent cx="5759450" cy="2903220"/>
            <wp:effectExtent l="0" t="0" r="0" b="0"/>
            <wp:wrapTight wrapText="bothSides">
              <wp:wrapPolygon edited="0">
                <wp:start x="0" y="0"/>
                <wp:lineTo x="0" y="21402"/>
                <wp:lineTo x="21505" y="21402"/>
                <wp:lineTo x="21505" y="0"/>
                <wp:lineTo x="0" y="0"/>
              </wp:wrapPolygon>
            </wp:wrapTight>
            <wp:docPr id="147935283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52831" name="Obrázek 1479352831"/>
                    <pic:cNvPicPr/>
                  </pic:nvPicPr>
                  <pic:blipFill>
                    <a:blip r:embed="rId12">
                      <a:extLst>
                        <a:ext uri="{28A0092B-C50C-407E-A947-70E740481C1C}">
                          <a14:useLocalDpi xmlns:a14="http://schemas.microsoft.com/office/drawing/2010/main" val="0"/>
                        </a:ext>
                      </a:extLst>
                    </a:blip>
                    <a:stretch>
                      <a:fillRect/>
                    </a:stretch>
                  </pic:blipFill>
                  <pic:spPr>
                    <a:xfrm>
                      <a:off x="0" y="0"/>
                      <a:ext cx="5759450" cy="2903220"/>
                    </a:xfrm>
                    <a:prstGeom prst="rect">
                      <a:avLst/>
                    </a:prstGeom>
                  </pic:spPr>
                </pic:pic>
              </a:graphicData>
            </a:graphic>
          </wp:anchor>
        </w:drawing>
      </w:r>
      <w:r w:rsidRPr="00D01565">
        <w:rPr>
          <w:b/>
          <w:bCs/>
        </w:rPr>
        <w:t>Velké technologické společnosti se díky umělé inteligenci staly ještě většími</w:t>
      </w:r>
    </w:p>
    <w:p w14:paraId="28FA4AC9" w14:textId="07145488" w:rsidR="00D01565" w:rsidRPr="00D01565" w:rsidRDefault="00D01565" w:rsidP="00D01565">
      <w:pPr>
        <w:pStyle w:val="F2-zkladn"/>
        <w:rPr>
          <w:sz w:val="18"/>
          <w:szCs w:val="18"/>
        </w:rPr>
      </w:pPr>
      <w:r w:rsidRPr="00D01565">
        <w:rPr>
          <w:sz w:val="18"/>
          <w:szCs w:val="18"/>
        </w:rPr>
        <w:t xml:space="preserve">Zdroj: </w:t>
      </w:r>
      <w:proofErr w:type="spellStart"/>
      <w:r w:rsidRPr="00D01565">
        <w:rPr>
          <w:sz w:val="18"/>
          <w:szCs w:val="18"/>
        </w:rPr>
        <w:t>Fidelity</w:t>
      </w:r>
      <w:proofErr w:type="spellEnd"/>
      <w:r w:rsidRPr="00D01565">
        <w:rPr>
          <w:sz w:val="18"/>
          <w:szCs w:val="18"/>
        </w:rPr>
        <w:t xml:space="preserve"> International, </w:t>
      </w:r>
      <w:proofErr w:type="spellStart"/>
      <w:r w:rsidRPr="00D01565">
        <w:rPr>
          <w:sz w:val="18"/>
          <w:szCs w:val="18"/>
        </w:rPr>
        <w:t>Bloomberg</w:t>
      </w:r>
      <w:proofErr w:type="spellEnd"/>
      <w:r w:rsidRPr="00D01565">
        <w:rPr>
          <w:sz w:val="18"/>
          <w:szCs w:val="18"/>
        </w:rPr>
        <w:t xml:space="preserve">, květen 2026. Obrázek ukazuje konsensuální odhady agentury </w:t>
      </w:r>
      <w:proofErr w:type="spellStart"/>
      <w:r w:rsidRPr="00D01565">
        <w:rPr>
          <w:sz w:val="18"/>
          <w:szCs w:val="18"/>
        </w:rPr>
        <w:t>Bloomberg</w:t>
      </w:r>
      <w:proofErr w:type="spellEnd"/>
      <w:r w:rsidRPr="00D01565">
        <w:rPr>
          <w:sz w:val="18"/>
          <w:szCs w:val="18"/>
        </w:rPr>
        <w:t xml:space="preserve"> pro dvouleté agregované budoucí investice.</w:t>
      </w:r>
    </w:p>
    <w:p w14:paraId="504F28DC" w14:textId="280C80AD" w:rsidR="00D01565" w:rsidRPr="00D01565" w:rsidRDefault="00D01565" w:rsidP="00D01565">
      <w:pPr>
        <w:pStyle w:val="F2-zkladn"/>
      </w:pPr>
      <w:r w:rsidRPr="00D01565">
        <w:t>Obrovské kapitálové výdaje podporují firmy v celém hodnototvorném řetězci, včetně průmyslových dodavatelů, kteří realizují výstavbu datových center a uspokojují jejich rostoucí energetické potřeby.</w:t>
      </w:r>
    </w:p>
    <w:p w14:paraId="07DF551E" w14:textId="119916B8" w:rsidR="00D01565" w:rsidRPr="00D01565" w:rsidRDefault="00D01565" w:rsidP="00D01565">
      <w:pPr>
        <w:pStyle w:val="F2-zkladn"/>
      </w:pPr>
      <w:r w:rsidRPr="00D01565">
        <w:t xml:space="preserve">Dopad těchto investic do kapitálových výdajů </w:t>
      </w:r>
      <w:r w:rsidR="00EA5205">
        <w:t>na</w:t>
      </w:r>
      <w:r w:rsidRPr="00D01565">
        <w:t xml:space="preserve"> AI, které podporují zisky a zvyšují produktivitu, začíná pociťovat i širší okruh amerických podniků. Tento trend přelévání napříč tržními odvětvími nabízí lákavé nákupní příležitosti, zejména v situaci, kdy se pozornost soustředí na omezený počet vysoce naceněných technologických titulů.</w:t>
      </w:r>
    </w:p>
    <w:p w14:paraId="6EB57759" w14:textId="46146161" w:rsidR="00D01565" w:rsidRDefault="00D01565" w:rsidP="00D01565">
      <w:pPr>
        <w:pStyle w:val="F2-zkladn"/>
        <w:rPr>
          <w:b/>
          <w:bCs/>
        </w:rPr>
      </w:pPr>
      <w:r>
        <w:rPr>
          <w:noProof/>
        </w:rPr>
        <w:drawing>
          <wp:anchor distT="0" distB="0" distL="114300" distR="114300" simplePos="0" relativeHeight="251660288" behindDoc="1" locked="0" layoutInCell="1" allowOverlap="1" wp14:anchorId="18704DD6" wp14:editId="31F4838B">
            <wp:simplePos x="0" y="0"/>
            <wp:positionH relativeFrom="column">
              <wp:posOffset>36830</wp:posOffset>
            </wp:positionH>
            <wp:positionV relativeFrom="paragraph">
              <wp:posOffset>548640</wp:posOffset>
            </wp:positionV>
            <wp:extent cx="5759450" cy="2985135"/>
            <wp:effectExtent l="0" t="0" r="0" b="5715"/>
            <wp:wrapTight wrapText="bothSides">
              <wp:wrapPolygon edited="0">
                <wp:start x="0" y="0"/>
                <wp:lineTo x="0" y="21504"/>
                <wp:lineTo x="21505" y="21504"/>
                <wp:lineTo x="21505" y="0"/>
                <wp:lineTo x="0" y="0"/>
              </wp:wrapPolygon>
            </wp:wrapTight>
            <wp:docPr id="211655321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53210" name="Obrázek 2116553210"/>
                    <pic:cNvPicPr/>
                  </pic:nvPicPr>
                  <pic:blipFill>
                    <a:blip r:embed="rId13">
                      <a:extLst>
                        <a:ext uri="{28A0092B-C50C-407E-A947-70E740481C1C}">
                          <a14:useLocalDpi xmlns:a14="http://schemas.microsoft.com/office/drawing/2010/main" val="0"/>
                        </a:ext>
                      </a:extLst>
                    </a:blip>
                    <a:stretch>
                      <a:fillRect/>
                    </a:stretch>
                  </pic:blipFill>
                  <pic:spPr>
                    <a:xfrm>
                      <a:off x="0" y="0"/>
                      <a:ext cx="5759450" cy="2985135"/>
                    </a:xfrm>
                    <a:prstGeom prst="rect">
                      <a:avLst/>
                    </a:prstGeom>
                  </pic:spPr>
                </pic:pic>
              </a:graphicData>
            </a:graphic>
          </wp:anchor>
        </w:drawing>
      </w:r>
      <w:r w:rsidRPr="00D01565">
        <w:rPr>
          <w:b/>
          <w:bCs/>
        </w:rPr>
        <w:t>Řada odvětví v USA překonává očekávání zisku</w:t>
      </w:r>
    </w:p>
    <w:p w14:paraId="72A2F607" w14:textId="58896F37" w:rsidR="00D01565" w:rsidRPr="00D01565" w:rsidRDefault="00D01565" w:rsidP="00D01565">
      <w:pPr>
        <w:pStyle w:val="F2-zkladn"/>
        <w:rPr>
          <w:sz w:val="18"/>
          <w:szCs w:val="18"/>
        </w:rPr>
      </w:pPr>
      <w:r w:rsidRPr="00D01565">
        <w:rPr>
          <w:sz w:val="18"/>
          <w:szCs w:val="18"/>
        </w:rPr>
        <w:lastRenderedPageBreak/>
        <w:t xml:space="preserve">Zdroj: </w:t>
      </w:r>
      <w:proofErr w:type="spellStart"/>
      <w:r w:rsidRPr="00D01565">
        <w:rPr>
          <w:sz w:val="18"/>
          <w:szCs w:val="18"/>
        </w:rPr>
        <w:t>Fidelity</w:t>
      </w:r>
      <w:proofErr w:type="spellEnd"/>
      <w:r w:rsidRPr="00D01565">
        <w:rPr>
          <w:sz w:val="18"/>
          <w:szCs w:val="18"/>
        </w:rPr>
        <w:t xml:space="preserve"> International, </w:t>
      </w:r>
      <w:proofErr w:type="spellStart"/>
      <w:r w:rsidRPr="00D01565">
        <w:rPr>
          <w:sz w:val="18"/>
          <w:szCs w:val="18"/>
        </w:rPr>
        <w:t>Bloomberg</w:t>
      </w:r>
      <w:proofErr w:type="spellEnd"/>
      <w:r w:rsidRPr="00D01565">
        <w:rPr>
          <w:sz w:val="18"/>
          <w:szCs w:val="18"/>
        </w:rPr>
        <w:t>, květen 2026. Poznámka: „Celková výkonnost“ ukazuje procento, o které všechny společnosti v daném sektoru překonaly očekávání, nikoli pouze ty společnosti, které je skutečně překonaly.</w:t>
      </w:r>
    </w:p>
    <w:p w14:paraId="7A758FD0" w14:textId="691B04FC" w:rsidR="00D01565" w:rsidRPr="00D01565" w:rsidRDefault="00D01565" w:rsidP="00D01565">
      <w:pPr>
        <w:pStyle w:val="F2-zkladn"/>
      </w:pPr>
      <w:r>
        <w:t>V</w:t>
      </w:r>
      <w:r w:rsidRPr="00D01565">
        <w:t>ýsledky hospodaření jsou nadále celosvětově</w:t>
      </w:r>
      <w:r w:rsidR="00EA5205">
        <w:t xml:space="preserve"> silné</w:t>
      </w:r>
      <w:r w:rsidRPr="00D01565">
        <w:t xml:space="preserve">. Přispívají k nim jednak investice do AI, jednak částečné rušení obchodních cel a odolnost jednotlivých ekonomik. </w:t>
      </w:r>
      <w:r w:rsidR="00EA5205">
        <w:t>Působí také d</w:t>
      </w:r>
      <w:r w:rsidRPr="00D01565">
        <w:t>alší strukturální témata; Evropa například nadále investuje do svého obranného sektoru, jelikož konflikty nepolevují a politici se v oblasti obrany snaží nastavit lokální dodavatelské řetězce. Stejně tak se znovu klade důraz na posílení energetické odolnosti, což vede k dalším investicím ze strany USA a Evropy do jejich stárnoucích energetických sítí.</w:t>
      </w:r>
    </w:p>
    <w:p w14:paraId="0B1B19D3" w14:textId="77777777" w:rsidR="00D01565" w:rsidRPr="00D01565" w:rsidRDefault="00D01565" w:rsidP="00D01565">
      <w:pPr>
        <w:pStyle w:val="F2-zkladn"/>
        <w:rPr>
          <w:b/>
          <w:bCs/>
        </w:rPr>
      </w:pPr>
      <w:r w:rsidRPr="00D01565">
        <w:rPr>
          <w:b/>
          <w:bCs/>
        </w:rPr>
        <w:t>Rozdíly na poli rozvíjejících se trhů</w:t>
      </w:r>
    </w:p>
    <w:p w14:paraId="29BA5F7D" w14:textId="75B46097" w:rsidR="00D01565" w:rsidRPr="00D01565" w:rsidRDefault="00D01565" w:rsidP="00D01565">
      <w:pPr>
        <w:pStyle w:val="F2-zkladn"/>
      </w:pPr>
      <w:r w:rsidRPr="00D01565">
        <w:t>Tato nejistota také znamená nutnost postupovat se</w:t>
      </w:r>
      <w:r w:rsidR="00EA5205">
        <w:t>le</w:t>
      </w:r>
      <w:r w:rsidRPr="00D01565">
        <w:t xml:space="preserve">ktivně při alokaci investic mezi jednotlivé regiony. Evropské akcie máme v portfoliu </w:t>
      </w:r>
      <w:proofErr w:type="spellStart"/>
      <w:r w:rsidRPr="00D01565">
        <w:t>podvážené</w:t>
      </w:r>
      <w:proofErr w:type="spellEnd"/>
      <w:r w:rsidRPr="00D01565">
        <w:t>, jelikož jsou více vystaveny riziku narušení dodávek a hrozbě stagflace. Americké akcie zatím táhne nahoru téma AI i silné firemní výsledky, i když některé tržní segmenty již zaznamenaly značný růst. Japonské akcie se i nadále jeví jako atraktivní, a to díky silným ziskům a příznivému makroekonomickému prostředí.</w:t>
      </w:r>
    </w:p>
    <w:p w14:paraId="6DEDFBD9" w14:textId="77777777" w:rsidR="00D01565" w:rsidRPr="00D01565" w:rsidRDefault="00D01565" w:rsidP="00D01565">
      <w:pPr>
        <w:pStyle w:val="F2-zkladn"/>
      </w:pPr>
      <w:r w:rsidRPr="00D01565">
        <w:t>Rozvíjející se trhy i nadále vnímáme jako investici s vysokým potenciálem. Akcie z oblasti rozvíjejících se trhů těží z obecnějších příznivých faktorů, jako je cyklus okolo umělé inteligence. Pozitivním faktorem by měl být i slabší dolar a strukturální zlepšování důvěryhodnosti jejich měnových politik.</w:t>
      </w:r>
    </w:p>
    <w:p w14:paraId="5DE3B1EF" w14:textId="77777777" w:rsidR="00D01565" w:rsidRPr="00D01565" w:rsidRDefault="00D01565" w:rsidP="00D01565">
      <w:pPr>
        <w:pStyle w:val="F2-zkladn"/>
      </w:pPr>
      <w:r w:rsidRPr="00D01565">
        <w:t xml:space="preserve">Konflikt v Íránu však má na jednotlivé rozvíjející se trhy rozdílné dopady. Těží z toho země Latinské Ameriky, které vyvážejí suroviny; naopak trpí ty, které energii dovážejí, zejména asijské ekonomiky závislé na dodávkách procházejících </w:t>
      </w:r>
      <w:proofErr w:type="spellStart"/>
      <w:r w:rsidRPr="00D01565">
        <w:t>Hormuzským</w:t>
      </w:r>
      <w:proofErr w:type="spellEnd"/>
      <w:r w:rsidRPr="00D01565">
        <w:t xml:space="preserve"> průlivem.</w:t>
      </w:r>
    </w:p>
    <w:p w14:paraId="032E12A4" w14:textId="729779F6" w:rsidR="00D01565" w:rsidRPr="00D01565" w:rsidRDefault="00D01565" w:rsidP="00D01565">
      <w:pPr>
        <w:pStyle w:val="F2-zkladn"/>
      </w:pPr>
      <w:r w:rsidRPr="00D01565">
        <w:t xml:space="preserve">Investoři na rozvíjejících se trzích proto musí postupovat obezřetně. Například Brazílie patří mezi země, kterým rostoucí ceny energií vyhovují; tamní akcie jsou atraktivně oceněny a v případě uvolnění měnové politiky by mohly dále růst. Jihoafrická republika se může pochlubit příznivými domácími fundamenty a podporou ze strany komoditního trhu. I některé části asijsko-pacifického regionu jsou navzdory energetickým výkyvům velmi atraktivní – příkladem je Korea, která se těší z </w:t>
      </w:r>
      <w:r w:rsidR="00EA5205" w:rsidRPr="00D01565">
        <w:t>příznivého</w:t>
      </w:r>
      <w:r w:rsidRPr="00D01565">
        <w:t xml:space="preserve"> polovodičového cyklu i zlepšující se </w:t>
      </w:r>
      <w:proofErr w:type="spellStart"/>
      <w:r w:rsidRPr="00D01565">
        <w:t>corporate</w:t>
      </w:r>
      <w:proofErr w:type="spellEnd"/>
      <w:r w:rsidRPr="00D01565">
        <w:t xml:space="preserve"> </w:t>
      </w:r>
      <w:proofErr w:type="spellStart"/>
      <w:r w:rsidRPr="00D01565">
        <w:t>governance</w:t>
      </w:r>
      <w:proofErr w:type="spellEnd"/>
      <w:r w:rsidRPr="00D01565">
        <w:t>.</w:t>
      </w:r>
    </w:p>
    <w:p w14:paraId="11EA6625" w14:textId="77777777" w:rsidR="00D01565" w:rsidRPr="00D01565" w:rsidRDefault="00D01565" w:rsidP="00D01565">
      <w:pPr>
        <w:pStyle w:val="F2-zkladn"/>
        <w:rPr>
          <w:b/>
          <w:bCs/>
        </w:rPr>
      </w:pPr>
      <w:r w:rsidRPr="00D01565">
        <w:rPr>
          <w:b/>
          <w:bCs/>
        </w:rPr>
        <w:t>Přehodnoťte pojem „bezpečné útočiště“</w:t>
      </w:r>
    </w:p>
    <w:p w14:paraId="685D45CC" w14:textId="77777777" w:rsidR="00D01565" w:rsidRPr="00D01565" w:rsidRDefault="00D01565" w:rsidP="00D01565">
      <w:pPr>
        <w:pStyle w:val="F2-zkladn"/>
      </w:pPr>
      <w:r w:rsidRPr="00D01565">
        <w:t>S tím, jak se proměňuje makroekonomické prostředí, se mění i náš pohled na diverzifikaci. Zvýšená geopolitická rizika a fragmentace kladou zvýšené nároky na tradiční bezpečná aktiva. Investoři se již nemohou spoléhat na jediné aktivum, které by pokrylo rizika v jejich portfoliích. Svět, který provázaly jen občasné problémy hospodářského růstu, se pozvolna mění ve svět, jenž se vyznačuje vyšší strukturální nestabilitou. Je nutné nasadit různé formy obrany portfolia.</w:t>
      </w:r>
    </w:p>
    <w:p w14:paraId="5D4B9154" w14:textId="77777777" w:rsidR="00D01565" w:rsidRPr="00D01565" w:rsidRDefault="00D01565" w:rsidP="00D01565">
      <w:pPr>
        <w:pStyle w:val="F2-zkladn"/>
      </w:pPr>
      <w:r w:rsidRPr="00D01565">
        <w:t>Například dolar z dlouhodobého hlediska nevypadá tak atraktivně jako dříve, a to kvůli stále nevyzpytatelnější politice USA. Zlato si během posledního konfliktu vedlo překvapivě špatně, ale vzhledem k příznivým podkladovým faktorům k němu nadále zaujímáme pozitivní postoj. Zlato může výkonnostně fungovat v době, kdy inflace negativně dopadá na ceny dluhopisů, a sloužit jako diverzifikační nástroj v situacích, kdy se zvyšuje korelace mezi dluhopisy a akciemi. Stejně tak může dobře reagovat při oslabení dolaru a klesajících reálných výnosech.</w:t>
      </w:r>
    </w:p>
    <w:p w14:paraId="47B6536F" w14:textId="77777777" w:rsidR="00EA5205" w:rsidRDefault="00D01565" w:rsidP="00D01565">
      <w:pPr>
        <w:pStyle w:val="F2-zkladn"/>
      </w:pPr>
      <w:r>
        <w:rPr>
          <w:noProof/>
        </w:rPr>
        <w:lastRenderedPageBreak/>
        <w:drawing>
          <wp:anchor distT="0" distB="0" distL="114300" distR="114300" simplePos="0" relativeHeight="251661312" behindDoc="1" locked="0" layoutInCell="1" allowOverlap="1" wp14:anchorId="5185C15D" wp14:editId="42280D5C">
            <wp:simplePos x="0" y="0"/>
            <wp:positionH relativeFrom="column">
              <wp:posOffset>82550</wp:posOffset>
            </wp:positionH>
            <wp:positionV relativeFrom="paragraph">
              <wp:posOffset>586740</wp:posOffset>
            </wp:positionV>
            <wp:extent cx="5759450" cy="2263775"/>
            <wp:effectExtent l="0" t="0" r="0" b="3175"/>
            <wp:wrapTight wrapText="bothSides">
              <wp:wrapPolygon edited="0">
                <wp:start x="0" y="0"/>
                <wp:lineTo x="0" y="21449"/>
                <wp:lineTo x="21505" y="21449"/>
                <wp:lineTo x="21505" y="0"/>
                <wp:lineTo x="0" y="0"/>
              </wp:wrapPolygon>
            </wp:wrapTight>
            <wp:docPr id="164592415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24151" name="Obrázek 1645924151"/>
                    <pic:cNvPicPr/>
                  </pic:nvPicPr>
                  <pic:blipFill>
                    <a:blip r:embed="rId14">
                      <a:extLst>
                        <a:ext uri="{28A0092B-C50C-407E-A947-70E740481C1C}">
                          <a14:useLocalDpi xmlns:a14="http://schemas.microsoft.com/office/drawing/2010/main" val="0"/>
                        </a:ext>
                      </a:extLst>
                    </a:blip>
                    <a:stretch>
                      <a:fillRect/>
                    </a:stretch>
                  </pic:blipFill>
                  <pic:spPr>
                    <a:xfrm>
                      <a:off x="0" y="0"/>
                      <a:ext cx="5759450" cy="2263775"/>
                    </a:xfrm>
                    <a:prstGeom prst="rect">
                      <a:avLst/>
                    </a:prstGeom>
                  </pic:spPr>
                </pic:pic>
              </a:graphicData>
            </a:graphic>
          </wp:anchor>
        </w:drawing>
      </w:r>
      <w:r w:rsidRPr="00D01565">
        <w:rPr>
          <w:b/>
          <w:bCs/>
        </w:rPr>
        <w:t>Aktiva považovaná za bezpečná útočiště vykazují u různých variant tržního výprodeje odlišný vývoj</w:t>
      </w:r>
    </w:p>
    <w:p w14:paraId="171D4299" w14:textId="0DDF39BA" w:rsidR="00EA5205" w:rsidRPr="00EA5205" w:rsidRDefault="00D01565" w:rsidP="00D01565">
      <w:pPr>
        <w:pStyle w:val="F2-zkladn"/>
      </w:pPr>
      <w:r w:rsidRPr="00EA5205">
        <w:t>Minulá výkonnost není zárukou budoucích výsledků</w:t>
      </w:r>
    </w:p>
    <w:p w14:paraId="2980AAE2" w14:textId="2AB3476C" w:rsidR="00EA5205" w:rsidRPr="00EA5205" w:rsidRDefault="00D01565" w:rsidP="00D01565">
      <w:pPr>
        <w:pStyle w:val="F2-zkladn"/>
        <w:rPr>
          <w:b/>
          <w:bCs/>
          <w:sz w:val="18"/>
          <w:szCs w:val="18"/>
        </w:rPr>
      </w:pPr>
      <w:r w:rsidRPr="00EA5205">
        <w:rPr>
          <w:sz w:val="18"/>
          <w:szCs w:val="18"/>
        </w:rPr>
        <w:t xml:space="preserve">Zdroj: </w:t>
      </w:r>
      <w:proofErr w:type="spellStart"/>
      <w:r w:rsidRPr="00EA5205">
        <w:rPr>
          <w:sz w:val="18"/>
          <w:szCs w:val="18"/>
        </w:rPr>
        <w:t>Fidelity</w:t>
      </w:r>
      <w:proofErr w:type="spellEnd"/>
      <w:r w:rsidRPr="00EA5205">
        <w:rPr>
          <w:sz w:val="18"/>
          <w:szCs w:val="18"/>
        </w:rPr>
        <w:t xml:space="preserve"> International, </w:t>
      </w:r>
      <w:proofErr w:type="spellStart"/>
      <w:r w:rsidRPr="00EA5205">
        <w:rPr>
          <w:sz w:val="18"/>
          <w:szCs w:val="18"/>
        </w:rPr>
        <w:t>Bloomberg</w:t>
      </w:r>
      <w:proofErr w:type="spellEnd"/>
      <w:r w:rsidRPr="00EA5205">
        <w:rPr>
          <w:sz w:val="18"/>
          <w:szCs w:val="18"/>
        </w:rPr>
        <w:t xml:space="preserve">, duben 2026. Na základě týdenních výnosů za období od ledna 1977 do dubna 2026. Dolar: Index DXY. UST: výnosy odvozené z indexu 10letých amerických státních dluhopisů. Ropa: Obecná ropa WTI, pro období před rokem 1990 doplněná z </w:t>
      </w:r>
      <w:proofErr w:type="spellStart"/>
      <w:r w:rsidRPr="00EA5205">
        <w:rPr>
          <w:sz w:val="18"/>
          <w:szCs w:val="18"/>
        </w:rPr>
        <w:t>Bloomberg</w:t>
      </w:r>
      <w:proofErr w:type="spellEnd"/>
      <w:r w:rsidRPr="00EA5205">
        <w:rPr>
          <w:sz w:val="18"/>
          <w:szCs w:val="18"/>
        </w:rPr>
        <w:t xml:space="preserve"> </w:t>
      </w:r>
      <w:proofErr w:type="spellStart"/>
      <w:r w:rsidRPr="00EA5205">
        <w:rPr>
          <w:sz w:val="18"/>
          <w:szCs w:val="18"/>
        </w:rPr>
        <w:t>Commodity</w:t>
      </w:r>
      <w:proofErr w:type="spellEnd"/>
      <w:r w:rsidRPr="00EA5205">
        <w:rPr>
          <w:sz w:val="18"/>
          <w:szCs w:val="18"/>
        </w:rPr>
        <w:t xml:space="preserve"> Indexu. Zlato: XAU </w:t>
      </w:r>
      <w:proofErr w:type="spellStart"/>
      <w:r w:rsidRPr="00EA5205">
        <w:rPr>
          <w:sz w:val="18"/>
          <w:szCs w:val="18"/>
        </w:rPr>
        <w:t>Curncy</w:t>
      </w:r>
      <w:proofErr w:type="spellEnd"/>
      <w:r w:rsidRPr="00EA5205">
        <w:rPr>
          <w:sz w:val="18"/>
          <w:szCs w:val="18"/>
        </w:rPr>
        <w:t xml:space="preserve">. JPY: Měnový pár JPY/USD. CHF: Měnový pár CHF/USD. Akcie: Index MSCI </w:t>
      </w:r>
      <w:proofErr w:type="spellStart"/>
      <w:r w:rsidRPr="00EA5205">
        <w:rPr>
          <w:sz w:val="18"/>
          <w:szCs w:val="18"/>
        </w:rPr>
        <w:t>World</w:t>
      </w:r>
      <w:proofErr w:type="spellEnd"/>
      <w:r w:rsidRPr="00EA5205">
        <w:rPr>
          <w:sz w:val="18"/>
          <w:szCs w:val="18"/>
        </w:rPr>
        <w:t>, doplněný indexem S&amp;P 500 pro období do roku 1999</w:t>
      </w:r>
    </w:p>
    <w:p w14:paraId="2A13F7AA" w14:textId="65026F9C" w:rsidR="00D01565" w:rsidRPr="00D01565" w:rsidRDefault="00D01565" w:rsidP="00D01565">
      <w:pPr>
        <w:pStyle w:val="F2-zkladn"/>
      </w:pPr>
      <w:r w:rsidRPr="00D01565">
        <w:t xml:space="preserve">Vzhledem k tomu, že inflace pravděpodobně zůstane po delší dobu výše, by komoditní expozice měla být pro portfolio přínosná. Zejména zařazení titulů z energetického sektoru může poskytnout ochranu před geopolitickými riziky. Komodity mohou také sloužit jako zajištění v době, kdy se nedaří </w:t>
      </w:r>
      <w:proofErr w:type="spellStart"/>
      <w:r w:rsidRPr="00D01565">
        <w:t>duračním</w:t>
      </w:r>
      <w:proofErr w:type="spellEnd"/>
      <w:r w:rsidRPr="00D01565">
        <w:t xml:space="preserve"> aktivům (dluhopisy s delší splatností). Inflace omezuje prostor pro výraznější pokles výnosů i tím i potenciál pro </w:t>
      </w:r>
      <w:proofErr w:type="spellStart"/>
      <w:r w:rsidRPr="00D01565">
        <w:t>durační</w:t>
      </w:r>
      <w:proofErr w:type="spellEnd"/>
      <w:r w:rsidRPr="00D01565">
        <w:t xml:space="preserve"> aktiva, kterým se v poslední době vůbec nedařilo. Ovšem pokud by se v průběhu roku znovu vynořila rizika pro ekonomický růst, durace by opět </w:t>
      </w:r>
      <w:proofErr w:type="spellStart"/>
      <w:r w:rsidRPr="00D01565">
        <w:t>začla</w:t>
      </w:r>
      <w:proofErr w:type="spellEnd"/>
      <w:r w:rsidRPr="00D01565">
        <w:t xml:space="preserve"> plnit svou roli jako zajištění proti výkyvům na akciovém trhu.</w:t>
      </w:r>
    </w:p>
    <w:p w14:paraId="5B10EC21" w14:textId="4C1C1BC0" w:rsidR="00D01565" w:rsidRDefault="00EA5205" w:rsidP="00D01565">
      <w:pPr>
        <w:pStyle w:val="F2-zkladn"/>
      </w:pPr>
      <w:r>
        <w:t>„</w:t>
      </w:r>
      <w:r w:rsidR="00D01565" w:rsidRPr="00EA5205">
        <w:rPr>
          <w:i/>
          <w:iCs/>
        </w:rPr>
        <w:t>Stejně opatrný přístup zaujímáme i v oblasti úvěrů, jelikož úvěrové spready stále nabízejí jen omezenou kompenzaci za makroekonomická rizika. Dluhopisy s vysokým výnosem jsou atraktivnější než dluhopisy investičního stupně, zejména v segmentech s kratší dobou splatnosti a vyšší kvalitou, především jako aktivum generující pravidelný příjem. Fundamenty jsou silné, ale nabízejí omezený prostor pro kapitálové zhodnocení</w:t>
      </w:r>
      <w:r w:rsidRPr="00EA5205">
        <w:rPr>
          <w:i/>
          <w:iCs/>
        </w:rPr>
        <w:t>,</w:t>
      </w:r>
      <w:r>
        <w:t xml:space="preserve">“ doplňuje </w:t>
      </w:r>
      <w:proofErr w:type="spellStart"/>
      <w:r w:rsidRPr="00EA5205">
        <w:t>Salman</w:t>
      </w:r>
      <w:proofErr w:type="spellEnd"/>
      <w:r w:rsidRPr="00EA5205">
        <w:t xml:space="preserve"> Ahmed</w:t>
      </w:r>
      <w:r>
        <w:t xml:space="preserve">, </w:t>
      </w:r>
      <w:r w:rsidRPr="00EA5205">
        <w:t>globální ředitel pro makroekonomiku a strategickou alokaci aktiv</w:t>
      </w:r>
      <w:r>
        <w:t xml:space="preserve"> společnosti </w:t>
      </w:r>
      <w:proofErr w:type="spellStart"/>
      <w:r>
        <w:t>Fidelity</w:t>
      </w:r>
      <w:proofErr w:type="spellEnd"/>
      <w:r>
        <w:t>.</w:t>
      </w:r>
    </w:p>
    <w:p w14:paraId="4CD9B42B" w14:textId="77777777" w:rsidR="00EA5205" w:rsidRDefault="00EA5205" w:rsidP="00D01565">
      <w:pPr>
        <w:pStyle w:val="F2-zkladn"/>
      </w:pPr>
    </w:p>
    <w:p w14:paraId="291B2A4D" w14:textId="77777777" w:rsidR="00EA5205" w:rsidRDefault="00EA5205" w:rsidP="00D01565">
      <w:pPr>
        <w:pStyle w:val="F2-zkladn"/>
      </w:pPr>
    </w:p>
    <w:p w14:paraId="3B74B538" w14:textId="77777777" w:rsidR="00EA5205" w:rsidRDefault="00EA5205" w:rsidP="00D01565">
      <w:pPr>
        <w:pStyle w:val="F2-zkladn"/>
      </w:pPr>
    </w:p>
    <w:p w14:paraId="7B0C0DB6" w14:textId="77777777" w:rsidR="00EA5205" w:rsidRPr="00D01565" w:rsidRDefault="00EA5205" w:rsidP="00D01565">
      <w:pPr>
        <w:pStyle w:val="F2-zkladn"/>
      </w:pPr>
    </w:p>
    <w:p w14:paraId="15130F31" w14:textId="1876EF96" w:rsidR="00E107E5" w:rsidRPr="00EA5205" w:rsidRDefault="00D01565" w:rsidP="00EA5205">
      <w:pPr>
        <w:pStyle w:val="F2-zkladn"/>
      </w:pPr>
      <w:r w:rsidRPr="00D01565">
        <w:rPr>
          <w:b/>
          <w:bCs/>
        </w:rPr>
        <w:lastRenderedPageBreak/>
        <w:t>Vysoký výnos zůstává výhodou, protože spready zůstávají těsné</w:t>
      </w:r>
      <w:r w:rsidR="00E107E5">
        <w:rPr>
          <w:noProof/>
        </w:rPr>
        <w:drawing>
          <wp:anchor distT="0" distB="0" distL="114300" distR="114300" simplePos="0" relativeHeight="251662336" behindDoc="1" locked="0" layoutInCell="1" allowOverlap="1" wp14:anchorId="3E5724A7" wp14:editId="60B355DD">
            <wp:simplePos x="0" y="0"/>
            <wp:positionH relativeFrom="column">
              <wp:posOffset>-46990</wp:posOffset>
            </wp:positionH>
            <wp:positionV relativeFrom="paragraph">
              <wp:posOffset>518160</wp:posOffset>
            </wp:positionV>
            <wp:extent cx="5759450" cy="2896870"/>
            <wp:effectExtent l="0" t="0" r="0" b="0"/>
            <wp:wrapTight wrapText="bothSides">
              <wp:wrapPolygon edited="0">
                <wp:start x="0" y="0"/>
                <wp:lineTo x="0" y="21448"/>
                <wp:lineTo x="21505" y="21448"/>
                <wp:lineTo x="21505" y="0"/>
                <wp:lineTo x="0" y="0"/>
              </wp:wrapPolygon>
            </wp:wrapTight>
            <wp:docPr id="108660457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04577" name="Obrázek 1086604577"/>
                    <pic:cNvPicPr/>
                  </pic:nvPicPr>
                  <pic:blipFill>
                    <a:blip r:embed="rId15">
                      <a:extLst>
                        <a:ext uri="{28A0092B-C50C-407E-A947-70E740481C1C}">
                          <a14:useLocalDpi xmlns:a14="http://schemas.microsoft.com/office/drawing/2010/main" val="0"/>
                        </a:ext>
                      </a:extLst>
                    </a:blip>
                    <a:stretch>
                      <a:fillRect/>
                    </a:stretch>
                  </pic:blipFill>
                  <pic:spPr>
                    <a:xfrm>
                      <a:off x="0" y="0"/>
                      <a:ext cx="5759450" cy="2896870"/>
                    </a:xfrm>
                    <a:prstGeom prst="rect">
                      <a:avLst/>
                    </a:prstGeom>
                  </pic:spPr>
                </pic:pic>
              </a:graphicData>
            </a:graphic>
          </wp:anchor>
        </w:drawing>
      </w:r>
    </w:p>
    <w:p w14:paraId="4F4EF66A" w14:textId="5AE8E884" w:rsidR="00E107E5" w:rsidRDefault="00E107E5" w:rsidP="00E107E5">
      <w:pPr>
        <w:rPr>
          <w:sz w:val="18"/>
          <w:szCs w:val="18"/>
        </w:rPr>
      </w:pPr>
      <w:r w:rsidRPr="00E107E5">
        <w:rPr>
          <w:sz w:val="18"/>
          <w:szCs w:val="18"/>
        </w:rPr>
        <w:t xml:space="preserve">Zdroj: </w:t>
      </w:r>
      <w:proofErr w:type="spellStart"/>
      <w:r w:rsidRPr="00E107E5">
        <w:rPr>
          <w:sz w:val="18"/>
          <w:szCs w:val="18"/>
        </w:rPr>
        <w:t>Bloomberg</w:t>
      </w:r>
      <w:proofErr w:type="spellEnd"/>
      <w:r w:rsidRPr="00E107E5">
        <w:rPr>
          <w:sz w:val="18"/>
          <w:szCs w:val="18"/>
        </w:rPr>
        <w:t xml:space="preserve">, </w:t>
      </w:r>
      <w:proofErr w:type="spellStart"/>
      <w:r w:rsidRPr="00E107E5">
        <w:rPr>
          <w:sz w:val="18"/>
          <w:szCs w:val="18"/>
        </w:rPr>
        <w:t>Fidelity</w:t>
      </w:r>
      <w:proofErr w:type="spellEnd"/>
      <w:r w:rsidRPr="00E107E5">
        <w:rPr>
          <w:sz w:val="18"/>
          <w:szCs w:val="18"/>
        </w:rPr>
        <w:t xml:space="preserve"> International, duben 2026. Spread upravený o opce, indexy </w:t>
      </w:r>
      <w:proofErr w:type="spellStart"/>
      <w:r w:rsidRPr="00E107E5">
        <w:rPr>
          <w:sz w:val="18"/>
          <w:szCs w:val="18"/>
        </w:rPr>
        <w:t>Bloomberg</w:t>
      </w:r>
      <w:proofErr w:type="spellEnd"/>
      <w:r w:rsidRPr="00E107E5">
        <w:rPr>
          <w:sz w:val="18"/>
          <w:szCs w:val="18"/>
        </w:rPr>
        <w:t xml:space="preserve"> HY.</w:t>
      </w:r>
    </w:p>
    <w:p w14:paraId="0615A51B" w14:textId="77777777" w:rsidR="00E107E5" w:rsidRPr="00E107E5" w:rsidRDefault="00E107E5" w:rsidP="00E107E5">
      <w:pPr>
        <w:pStyle w:val="F2-zkladn"/>
      </w:pPr>
      <w:r w:rsidRPr="00E107E5">
        <w:t>A nakonec jsou tu ještě soukromé úvěry. Tato třída aktiv se v poslední době ocitla pod tlakem, a to především v důsledku posunu úvěrového cyklu směrem k vyšším mírám defaultů (selhání). Nesplácené úvěry se však stále více soustřeďují do konkrétních tržních segmentů. Větší obavy budí dílčí sektory, jako jsou úvěry v oblasti softwaru a technologií.</w:t>
      </w:r>
    </w:p>
    <w:p w14:paraId="076BA559" w14:textId="77777777" w:rsidR="00E107E5" w:rsidRPr="00E107E5" w:rsidRDefault="00E107E5" w:rsidP="00E107E5">
      <w:pPr>
        <w:pStyle w:val="F2-zkladn"/>
      </w:pPr>
      <w:r w:rsidRPr="00E107E5">
        <w:t>Celkový obraz v oblasti soukromých úvěrů naznačuje spíše omezené než systémové riziko, přičemž fundraising i fundamentální ukazatele zůstávají v dobrém stavu. Defenzivnější oblasti, jako úvěrování ve středním segmentu s přísnějšími smluvními podmínkami, zkušenými manažery a diverzifikovaným zajištěním aktivy, se jeví jako nejlépe připravené překonat krátkodobé otřesy.</w:t>
      </w:r>
    </w:p>
    <w:p w14:paraId="47B30513" w14:textId="77777777" w:rsidR="00E107E5" w:rsidRPr="00E107E5" w:rsidRDefault="00E107E5" w:rsidP="00E107E5">
      <w:pPr>
        <w:pStyle w:val="F2-zkladn"/>
        <w:rPr>
          <w:b/>
          <w:bCs/>
        </w:rPr>
      </w:pPr>
      <w:r w:rsidRPr="00E107E5">
        <w:rPr>
          <w:b/>
          <w:bCs/>
        </w:rPr>
        <w:t>Navzdory šumu</w:t>
      </w:r>
    </w:p>
    <w:p w14:paraId="39D67727" w14:textId="77777777" w:rsidR="00E107E5" w:rsidRPr="00E107E5" w:rsidRDefault="00E107E5" w:rsidP="00E107E5">
      <w:pPr>
        <w:pStyle w:val="F2-zkladn"/>
      </w:pPr>
      <w:r w:rsidRPr="00E107E5">
        <w:t>Trhy prokázaly v prvních šesti měsících tohoto roku, které se nesly ve znamení volatility, pozoruhodnou odolnost. Jejich vytrvalost by nás však neměla překvapovat. Naučily se dobře odlišovat podstatné informace od nepodstatných a rozpoznávat opravdový potenciál. Obrovský cyklus kapitálových výdajů do AI, silné výsledky a relativně dobré fundamentální ukazatele napříč trhy ujistily investory, že je stále možné dosáhnout značného nadprůměrného výnosu.</w:t>
      </w:r>
    </w:p>
    <w:p w14:paraId="73A5F76B" w14:textId="77777777" w:rsidR="00E107E5" w:rsidRPr="00E107E5" w:rsidRDefault="00E107E5" w:rsidP="00E107E5">
      <w:pPr>
        <w:pStyle w:val="F2-zkladn"/>
      </w:pPr>
      <w:r w:rsidRPr="00E107E5">
        <w:t>Teď není čas se vyhýbat riziku. Je však třeba zajistit, aby riziko bylo vyváženo v dobře diverzifikovaném portfoliu, které pomůže zmírnit dopad otřesů, k nimž jednou nevyhnutelně dojde.</w:t>
      </w:r>
    </w:p>
    <w:p w14:paraId="35B99DD6" w14:textId="77777777" w:rsidR="00E107E5" w:rsidRPr="00E107E5" w:rsidRDefault="00E107E5" w:rsidP="00E107E5">
      <w:pPr>
        <w:pStyle w:val="F2-zkladn"/>
      </w:pPr>
    </w:p>
    <w:p w14:paraId="08309117" w14:textId="77777777" w:rsidR="00EA5205" w:rsidRDefault="00EA5205" w:rsidP="00E107E5">
      <w:pPr>
        <w:rPr>
          <w:b/>
          <w:bCs/>
        </w:rPr>
      </w:pPr>
    </w:p>
    <w:p w14:paraId="50D0635B" w14:textId="77777777" w:rsidR="00EA5205" w:rsidRDefault="00EA5205" w:rsidP="00E107E5">
      <w:pPr>
        <w:rPr>
          <w:b/>
          <w:bCs/>
        </w:rPr>
      </w:pPr>
    </w:p>
    <w:p w14:paraId="42BA174B" w14:textId="4A3AE783" w:rsidR="00E107E5" w:rsidRPr="00E107E5" w:rsidRDefault="00362096" w:rsidP="00E107E5">
      <w:pPr>
        <w:rPr>
          <w:b/>
          <w:bCs/>
        </w:rPr>
      </w:pPr>
      <w:r w:rsidRPr="003B4C8C">
        <w:rPr>
          <w:b/>
          <w:bCs/>
        </w:rPr>
        <w:lastRenderedPageBreak/>
        <w:t>Pro více informací kontaktujte:</w:t>
      </w:r>
    </w:p>
    <w:p w14:paraId="48DEF66B" w14:textId="19806952" w:rsidR="00362096" w:rsidRPr="003B4C8C" w:rsidRDefault="00362096" w:rsidP="00362096">
      <w:r w:rsidRPr="003B4C8C">
        <w:rPr>
          <w:b/>
          <w:bCs/>
        </w:rPr>
        <w:t>Eliška Krohová</w:t>
      </w:r>
    </w:p>
    <w:p w14:paraId="2CA03BC4" w14:textId="7C341551" w:rsidR="00362096" w:rsidRPr="003B4C8C" w:rsidRDefault="00362096" w:rsidP="00362096">
      <w:r w:rsidRPr="003B4C8C">
        <w:rPr>
          <w:b/>
          <w:bCs/>
        </w:rPr>
        <w:t>Crest Communications, a.s.</w:t>
      </w:r>
    </w:p>
    <w:p w14:paraId="1A21A054" w14:textId="548D4F4A" w:rsidR="00362096" w:rsidRPr="003B4C8C" w:rsidRDefault="00362096" w:rsidP="00362096">
      <w:r w:rsidRPr="003B4C8C">
        <w:t>Ostrovní 126/30</w:t>
      </w:r>
    </w:p>
    <w:p w14:paraId="17106CFE" w14:textId="7F8439C7" w:rsidR="00362096" w:rsidRPr="003B4C8C" w:rsidRDefault="00362096" w:rsidP="00362096">
      <w:r w:rsidRPr="003B4C8C">
        <w:t>110 00 Praha 1</w:t>
      </w:r>
    </w:p>
    <w:p w14:paraId="6C3201C5" w14:textId="0F49E9D8" w:rsidR="00362096" w:rsidRPr="003B4C8C" w:rsidRDefault="00362096" w:rsidP="00362096">
      <w:proofErr w:type="spellStart"/>
      <w:r w:rsidRPr="003B4C8C">
        <w:t>gsm</w:t>
      </w:r>
      <w:proofErr w:type="spellEnd"/>
      <w:r w:rsidRPr="003B4C8C">
        <w:t>: + 420 720 406 659</w:t>
      </w:r>
    </w:p>
    <w:p w14:paraId="557AD6EE" w14:textId="36127425" w:rsidR="00362096" w:rsidRPr="003B4C8C" w:rsidRDefault="00362096" w:rsidP="00362096">
      <w:r w:rsidRPr="003B4C8C">
        <w:t>e-mail: </w:t>
      </w:r>
      <w:hyperlink r:id="rId16"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FBE6EE9" w:rsidR="00362096" w:rsidRPr="003B4C8C" w:rsidRDefault="00362096" w:rsidP="00362096">
      <w:proofErr w:type="spellStart"/>
      <w:r w:rsidRPr="003B4C8C">
        <w:rPr>
          <w:b/>
          <w:bCs/>
        </w:rPr>
        <w:t>Fidelity</w:t>
      </w:r>
      <w:proofErr w:type="spellEnd"/>
      <w:r w:rsidRPr="003B4C8C">
        <w:rPr>
          <w:b/>
          <w:bCs/>
        </w:rPr>
        <w:t xml:space="preserve"> International </w:t>
      </w:r>
      <w:r w:rsidRPr="003B4C8C">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3B4C8C">
        <w:t>assets</w:t>
      </w:r>
      <w:proofErr w:type="spellEnd"/>
      <w:r w:rsidRPr="003B4C8C">
        <w:t xml:space="preserve"> </w:t>
      </w:r>
      <w:proofErr w:type="spellStart"/>
      <w:r w:rsidRPr="003B4C8C">
        <w:t>under</w:t>
      </w:r>
      <w:proofErr w:type="spellEnd"/>
      <w:r w:rsidRPr="003B4C8C">
        <w:t xml:space="preserve"> </w:t>
      </w:r>
      <w:proofErr w:type="spellStart"/>
      <w:r w:rsidRPr="003B4C8C">
        <w:t>administration</w:t>
      </w:r>
      <w:proofErr w:type="spellEnd"/>
      <w:r w:rsidRPr="003B4C8C">
        <w:t xml:space="preserve">) a globálně pro klienty investovala 290 mld. USD ve 25 zemích napříč Evropou, Asií, Tichomořím, středním Východem a jižní Amerikou. V České republice </w:t>
      </w:r>
      <w:proofErr w:type="spellStart"/>
      <w:r w:rsidRPr="003B4C8C">
        <w:t>Fidelity</w:t>
      </w:r>
      <w:proofErr w:type="spellEnd"/>
      <w:r w:rsidRPr="003B4C8C">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proofErr w:type="spellStart"/>
      <w:r w:rsidRPr="003B4C8C">
        <w:t>Fidelity</w:t>
      </w:r>
      <w:proofErr w:type="spellEnd"/>
      <w:r w:rsidRPr="003B4C8C">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 xml:space="preserve">Jako </w:t>
      </w:r>
      <w:proofErr w:type="spellStart"/>
      <w:r w:rsidRPr="003B4C8C">
        <w:t>Fidelity</w:t>
      </w:r>
      <w:proofErr w:type="spellEnd"/>
      <w:r w:rsidRPr="003B4C8C">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 xml:space="preserve">Všechny názory představují stanoviska společnosti </w:t>
      </w:r>
      <w:proofErr w:type="spellStart"/>
      <w:r w:rsidRPr="003B4C8C">
        <w:t>Fidelity</w:t>
      </w:r>
      <w:proofErr w:type="spellEnd"/>
      <w:r w:rsidRPr="003B4C8C">
        <w:t xml:space="preserve">, není-li uvedeno jinak. </w:t>
      </w:r>
      <w:proofErr w:type="spellStart"/>
      <w:r w:rsidRPr="003B4C8C">
        <w:t>Fidelity</w:t>
      </w:r>
      <w:proofErr w:type="spellEnd"/>
      <w:r w:rsidRPr="003B4C8C">
        <w:t xml:space="preserve">, </w:t>
      </w:r>
      <w:proofErr w:type="spellStart"/>
      <w:r w:rsidRPr="003B4C8C">
        <w:t>Fidelity</w:t>
      </w:r>
      <w:proofErr w:type="spellEnd"/>
      <w:r w:rsidRPr="003B4C8C">
        <w:t xml:space="preserve"> International a logo </w:t>
      </w:r>
      <w:proofErr w:type="spellStart"/>
      <w:r w:rsidRPr="003B4C8C">
        <w:t>Fidelity</w:t>
      </w:r>
      <w:proofErr w:type="spellEnd"/>
      <w:r w:rsidRPr="003B4C8C">
        <w:t xml:space="preserve"> International a symbol měny F jsou všechno ochrannými známkami společnosti FIL Limited.</w:t>
      </w:r>
    </w:p>
    <w:p w14:paraId="4126DD13" w14:textId="77777777" w:rsidR="00362096" w:rsidRPr="003B4C8C" w:rsidRDefault="00362096" w:rsidP="00362096">
      <w:r w:rsidRPr="003B4C8C">
        <w:lastRenderedPageBreak/>
        <w:t xml:space="preserve">Tento dokument nepředstavuje distribuci, nabídku nebo výzvu k využití služeb investiční správy společnosti </w:t>
      </w:r>
      <w:proofErr w:type="spellStart"/>
      <w:r w:rsidRPr="003B4C8C">
        <w:t>Fidelity</w:t>
      </w:r>
      <w:proofErr w:type="spellEnd"/>
      <w:r w:rsidRPr="003B4C8C">
        <w:t>,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rsidRPr="003B4C8C">
        <w:t>Fidelity</w:t>
      </w:r>
      <w:proofErr w:type="spellEnd"/>
      <w:r w:rsidRPr="003B4C8C">
        <w:t xml:space="preserve"> již mohla jednat. Průzkumy a analýzy použité v této dokumentaci shromažďuje společnost </w:t>
      </w:r>
      <w:proofErr w:type="spellStart"/>
      <w:r w:rsidRPr="003B4C8C">
        <w:t>Fidelity</w:t>
      </w:r>
      <w:proofErr w:type="spellEnd"/>
      <w:r w:rsidRPr="003B4C8C">
        <w:t xml:space="preserve"> pro své potřeby správce investic a je možné, že podle nich již bylo postupováno pro její vlastní účely. Tento materiál byl vytvořen společností </w:t>
      </w:r>
      <w:proofErr w:type="spellStart"/>
      <w:r w:rsidRPr="003B4C8C">
        <w:t>Fidelity</w:t>
      </w:r>
      <w:proofErr w:type="spellEnd"/>
      <w:r w:rsidRPr="003B4C8C">
        <w:t xml:space="preserve">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 xml:space="preserve">Tento dokument může obsahovat materiály třetích stran, které jsou dodávány společnostmi, jež nejsou spojeny s žádným subjektem </w:t>
      </w:r>
      <w:proofErr w:type="spellStart"/>
      <w:r w:rsidRPr="003B4C8C">
        <w:t>Fidelity</w:t>
      </w:r>
      <w:proofErr w:type="spellEnd"/>
      <w:r w:rsidRPr="003B4C8C">
        <w:t xml:space="preserve"> (obsah třetích stran). Společnost </w:t>
      </w:r>
      <w:proofErr w:type="spellStart"/>
      <w:r w:rsidRPr="003B4C8C">
        <w:t>Fidelity</w:t>
      </w:r>
      <w:proofErr w:type="spellEnd"/>
      <w:r w:rsidRPr="003B4C8C">
        <w:t xml:space="preserve">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7" w:tgtFrame="_blank" w:history="1">
        <w:r w:rsidRPr="003B4C8C">
          <w:rPr>
            <w:rStyle w:val="Hypertextovodkaz"/>
          </w:rPr>
          <w:t>https://www.fidelityinternational.com</w:t>
        </w:r>
      </w:hyperlink>
      <w:r w:rsidRPr="003B4C8C">
        <w:t xml:space="preserve"> nebo od našich </w:t>
      </w:r>
      <w:proofErr w:type="spellStart"/>
      <w:r w:rsidRPr="003B4C8C">
        <w:t>distributořů</w:t>
      </w:r>
      <w:proofErr w:type="spellEnd"/>
      <w:r w:rsidRPr="003B4C8C">
        <w:t xml:space="preserve"> a našeho evropského Centra služeb v Lucembursku, sídlící na adrese FIL (</w:t>
      </w:r>
      <w:proofErr w:type="spellStart"/>
      <w:r w:rsidRPr="003B4C8C">
        <w:t>Luxembourg</w:t>
      </w:r>
      <w:proofErr w:type="spellEnd"/>
      <w:r w:rsidRPr="003B4C8C">
        <w:t xml:space="preserve">) S.A. 2a, </w:t>
      </w:r>
      <w:proofErr w:type="spellStart"/>
      <w:r w:rsidRPr="003B4C8C">
        <w:t>rue</w:t>
      </w:r>
      <w:proofErr w:type="spellEnd"/>
      <w:r w:rsidRPr="003B4C8C">
        <w:t xml:space="preserve"> Albert </w:t>
      </w:r>
      <w:proofErr w:type="spellStart"/>
      <w:r w:rsidRPr="003B4C8C">
        <w:t>Borschette</w:t>
      </w:r>
      <w:proofErr w:type="spellEnd"/>
      <w:r w:rsidRPr="003B4C8C">
        <w:t xml:space="preserve"> BP 2174 L-1021 </w:t>
      </w:r>
      <w:proofErr w:type="spellStart"/>
      <w:r w:rsidRPr="003B4C8C">
        <w:t>Luxembourg</w:t>
      </w:r>
      <w:proofErr w:type="spellEnd"/>
      <w:r w:rsidRPr="003B4C8C">
        <w:t>.</w:t>
      </w:r>
    </w:p>
    <w:p w14:paraId="7893AFD1" w14:textId="77777777" w:rsidR="00362096" w:rsidRPr="003B4C8C" w:rsidRDefault="00362096" w:rsidP="00362096">
      <w:proofErr w:type="spellStart"/>
      <w:r w:rsidRPr="003B4C8C">
        <w:t>Fidelity</w:t>
      </w:r>
      <w:proofErr w:type="spellEnd"/>
      <w:r w:rsidRPr="003B4C8C">
        <w:t xml:space="preserve"> </w:t>
      </w:r>
      <w:proofErr w:type="spellStart"/>
      <w:r w:rsidRPr="003B4C8C">
        <w:t>Funds</w:t>
      </w:r>
      <w:proofErr w:type="spellEnd"/>
      <w:r w:rsidRPr="003B4C8C">
        <w:t xml:space="preserve"> "FF" je otevřená investiční společnost (SKIPCP) sídlící v Lucembursku, která disponuje akciemi různých tříd. Společnost FIL </w:t>
      </w:r>
      <w:proofErr w:type="spellStart"/>
      <w:r w:rsidRPr="003B4C8C">
        <w:t>Investment</w:t>
      </w:r>
      <w:proofErr w:type="spellEnd"/>
      <w:r w:rsidRPr="003B4C8C">
        <w:t xml:space="preserve"> Management (</w:t>
      </w:r>
      <w:proofErr w:type="spellStart"/>
      <w:r w:rsidRPr="003B4C8C">
        <w:t>Luxembourg</w:t>
      </w:r>
      <w:proofErr w:type="spellEnd"/>
      <w:r w:rsidRPr="003B4C8C">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rsidRPr="003B4C8C">
        <w:t>Lucembursku.Obchodní</w:t>
      </w:r>
      <w:proofErr w:type="spellEnd"/>
      <w:r w:rsidRPr="003B4C8C">
        <w:t xml:space="preserve">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18"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1248BAD0" w:rsidR="00D20058" w:rsidRDefault="00E107E5" w:rsidP="00E107E5">
      <w:pPr>
        <w:spacing w:after="160" w:line="278" w:lineRule="auto"/>
      </w:pPr>
      <w:r w:rsidRPr="00E107E5">
        <w:t>MKAT13872</w:t>
      </w:r>
    </w:p>
    <w:sectPr w:rsidR="00D20058" w:rsidSect="00F50497">
      <w:headerReference w:type="default" r:id="rId19"/>
      <w:footerReference w:type="default" r:id="rId20"/>
      <w:headerReference w:type="first" r:id="rId21"/>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77B1" w14:textId="77777777" w:rsidR="00841CC2" w:rsidRDefault="00841CC2">
      <w:r>
        <w:separator/>
      </w:r>
    </w:p>
  </w:endnote>
  <w:endnote w:type="continuationSeparator" w:id="0">
    <w:p w14:paraId="040B8298" w14:textId="77777777" w:rsidR="00841CC2" w:rsidRDefault="0084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66B6" w14:textId="77777777" w:rsidR="00841CC2" w:rsidRDefault="00841CC2">
      <w:r>
        <w:separator/>
      </w:r>
    </w:p>
  </w:footnote>
  <w:footnote w:type="continuationSeparator" w:id="0">
    <w:p w14:paraId="67A6F797" w14:textId="77777777" w:rsidR="00841CC2" w:rsidRDefault="00841CC2">
      <w:r>
        <w:continuationSeparator/>
      </w:r>
    </w:p>
  </w:footnote>
  <w:footnote w:type="continuationNotice" w:id="1">
    <w:p w14:paraId="2B771561" w14:textId="77777777" w:rsidR="00841CC2" w:rsidRDefault="00841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3"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4" w15:restartNumberingAfterBreak="0">
    <w:nsid w:val="25365005"/>
    <w:multiLevelType w:val="hybridMultilevel"/>
    <w:tmpl w:val="3DA08952"/>
    <w:lvl w:ilvl="0" w:tplc="13C48784">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F70029"/>
    <w:multiLevelType w:val="multilevel"/>
    <w:tmpl w:val="BE3A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E08D3"/>
    <w:multiLevelType w:val="multilevel"/>
    <w:tmpl w:val="8E08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2"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27C451C"/>
    <w:multiLevelType w:val="multilevel"/>
    <w:tmpl w:val="1098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B67FC8"/>
    <w:multiLevelType w:val="multilevel"/>
    <w:tmpl w:val="D4AC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43B4B"/>
    <w:multiLevelType w:val="multilevel"/>
    <w:tmpl w:val="FB12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07484830">
    <w:abstractNumId w:val="13"/>
  </w:num>
  <w:num w:numId="2" w16cid:durableId="1895313556">
    <w:abstractNumId w:val="22"/>
  </w:num>
  <w:num w:numId="3" w16cid:durableId="1213884590">
    <w:abstractNumId w:val="27"/>
  </w:num>
  <w:num w:numId="4" w16cid:durableId="249312893">
    <w:abstractNumId w:val="16"/>
  </w:num>
  <w:num w:numId="5" w16cid:durableId="315694586">
    <w:abstractNumId w:val="17"/>
  </w:num>
  <w:num w:numId="6" w16cid:durableId="108403674">
    <w:abstractNumId w:val="15"/>
  </w:num>
  <w:num w:numId="7" w16cid:durableId="604575006">
    <w:abstractNumId w:val="23"/>
  </w:num>
  <w:num w:numId="8" w16cid:durableId="2105804766">
    <w:abstractNumId w:val="20"/>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0"/>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2"/>
  </w:num>
  <w:num w:numId="21" w16cid:durableId="1864786788">
    <w:abstractNumId w:val="21"/>
  </w:num>
  <w:num w:numId="22" w16cid:durableId="907761201">
    <w:abstractNumId w:val="11"/>
  </w:num>
  <w:num w:numId="23" w16cid:durableId="801576823">
    <w:abstractNumId w:val="19"/>
  </w:num>
  <w:num w:numId="24" w16cid:durableId="2076659369">
    <w:abstractNumId w:val="26"/>
  </w:num>
  <w:num w:numId="25" w16cid:durableId="1775054384">
    <w:abstractNumId w:val="24"/>
  </w:num>
  <w:num w:numId="26" w16cid:durableId="1232540532">
    <w:abstractNumId w:val="18"/>
  </w:num>
  <w:num w:numId="27" w16cid:durableId="511141412">
    <w:abstractNumId w:val="25"/>
  </w:num>
  <w:num w:numId="28" w16cid:durableId="1571188866">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3FA2"/>
    <w:rsid w:val="001C4F9E"/>
    <w:rsid w:val="001C5A91"/>
    <w:rsid w:val="001C5D0C"/>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5DB"/>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6929"/>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D9"/>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4008"/>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594"/>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230"/>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17AB"/>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1BF1"/>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254"/>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1CC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213"/>
    <w:rsid w:val="008B333F"/>
    <w:rsid w:val="008B383F"/>
    <w:rsid w:val="008B38AD"/>
    <w:rsid w:val="008B3FBF"/>
    <w:rsid w:val="008B44DA"/>
    <w:rsid w:val="008B4A06"/>
    <w:rsid w:val="008B4CBC"/>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3F0"/>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268"/>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1ED"/>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5CCC"/>
    <w:rsid w:val="00B678D4"/>
    <w:rsid w:val="00B708E8"/>
    <w:rsid w:val="00B711F9"/>
    <w:rsid w:val="00B734FD"/>
    <w:rsid w:val="00B738CA"/>
    <w:rsid w:val="00B7404A"/>
    <w:rsid w:val="00B75AC6"/>
    <w:rsid w:val="00B773C5"/>
    <w:rsid w:val="00B77651"/>
    <w:rsid w:val="00B8144B"/>
    <w:rsid w:val="00B81F91"/>
    <w:rsid w:val="00B839BA"/>
    <w:rsid w:val="00B84EC0"/>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1980"/>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7A3"/>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1565"/>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0CB2"/>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7E5"/>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5205"/>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AB2"/>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https/www.fidelity.cz"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https/www.fidelityinternational.com" TargetMode="External"/><Relationship Id="rId2" Type="http://schemas.openxmlformats.org/officeDocument/2006/relationships/customXml" Target="../customXml/item2.xml"/><Relationship Id="rId16" Type="http://schemas.openxmlformats.org/officeDocument/2006/relationships/hyperlink" Target="mailto:eliska.krohova@crestcom.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8</Pages>
  <Words>2526</Words>
  <Characters>14906</Characters>
  <Application>Microsoft Office Word</Application>
  <DocSecurity>0</DocSecurity>
  <Lines>124</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17398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 a.s.</cp:lastModifiedBy>
  <cp:revision>4</cp:revision>
  <cp:lastPrinted>2015-11-30T16:29:00Z</cp:lastPrinted>
  <dcterms:created xsi:type="dcterms:W3CDTF">2026-07-02T06:58:00Z</dcterms:created>
  <dcterms:modified xsi:type="dcterms:W3CDTF">2026-07-02T07:32:00Z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